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6D" w:rsidRPr="0052266D" w:rsidRDefault="0052266D" w:rsidP="005226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226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Кейс по микроэкономике №1</w:t>
      </w:r>
    </w:p>
    <w:p w:rsidR="0052266D" w:rsidRDefault="0052266D" w:rsidP="00522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66D" w:rsidRPr="0052266D" w:rsidRDefault="0052266D" w:rsidP="00522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ситуация на рынке автомобилей в стране N. В 2016 году в стране наблюдался резкий спад экономики. </w:t>
      </w:r>
    </w:p>
    <w:p w:rsidR="0052266D" w:rsidRPr="0052266D" w:rsidRDefault="0052266D" w:rsidP="00522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Аналитическое агентство предполагало 15−процентный рост продаж иномарок на рынке данной страны. По мнению специалистов, увеличение показателей должно было быть обусловлено ростом уровня реализации иномарок «местной» сборки. В 2016 году в стране N было продано 2,011 млн иномарок. Это на 65% меньше показателей 2015 года и соответствует уровню 2010 года. </w:t>
      </w:r>
    </w:p>
    <w:p w:rsidR="0052266D" w:rsidRPr="0052266D" w:rsidRDefault="0052266D" w:rsidP="00522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 спроса на иномарки в 2016 году составил 2,9% и меньше всего коснулся продаж дорогих автомобилей премиум-сегмента и наиболее бюджетных машин. Спрос на автомобили наиболее бюджетных машин повысился, то есть спрос сместился в более низкий ценовой сегмент, но изменения не коснулись премиум-сегмента.</w:t>
      </w:r>
    </w:p>
    <w:p w:rsidR="0052266D" w:rsidRPr="0052266D" w:rsidRDefault="0052266D" w:rsidP="00522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2016 год средняя цена каждой проданной иномарки снизилась на 2% и составила 35 тыс. долларов. На 2017 год эксперты прогнозируют аналогичные тенденции, однако допускают возможность дефицита тех или иных моделей, поскольку «в своих заявках дилеры проявили осторожность и заказали минимальное количество автомобилей, ориентируясь на уровень продаж прошлого года». </w:t>
      </w:r>
    </w:p>
    <w:p w:rsidR="0052266D" w:rsidRPr="0052266D" w:rsidRDefault="0052266D" w:rsidP="00522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января консалтинговая компания прогнозировала объем авторынка в 2017 году на уровне 1,1−1,3 млн машин. Оптимистичный сценарий предусматривает рост рыночных показателей автомобильного рынка на 12%, пессимистичный – спад на 7%. Ассоциация автомобильного бизнеса считает возможной продажу в 2017 году 1,2 млн штук новых легковых и легких коммерческих автомобилей. При этом крупнейшая зарубежная автомобильная компания, действующая на этом рынке, рассчитывает реализовать 1,4 млн автомобилей.</w:t>
      </w:r>
    </w:p>
    <w:p w:rsidR="0052266D" w:rsidRPr="0052266D" w:rsidRDefault="0052266D" w:rsidP="00522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спрос на иномарки в 2016 г. упал на 2,9%, то чем можно объяснить сокращение их продаж за этот год на 65%?</w:t>
      </w:r>
    </w:p>
    <w:p w:rsidR="0052266D" w:rsidRPr="0052266D" w:rsidRDefault="0052266D" w:rsidP="00522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36.5pt;height:57.75pt" o:ole="">
            <v:imagedata r:id="rId5" o:title=""/>
          </v:shape>
          <w:control r:id="rId6" w:name="DefaultOcxName" w:shapeid="_x0000_i1033"/>
        </w:object>
      </w:r>
    </w:p>
    <w:p w:rsidR="0052266D" w:rsidRPr="0052266D" w:rsidRDefault="0052266D" w:rsidP="00522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Можно ли утверждать, что планируемый в 2017 г. рост продаж иномарок на рынке страны N отражает увеличение спроса на этом рынке? </w:t>
      </w:r>
    </w:p>
    <w:p w:rsidR="0052266D" w:rsidRPr="0052266D" w:rsidRDefault="0052266D" w:rsidP="00522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32" type="#_x0000_t75" style="width:136.5pt;height:57.75pt" o:ole="">
            <v:imagedata r:id="rId5" o:title=""/>
          </v:shape>
          <w:control r:id="rId7" w:name="DefaultOcxName1" w:shapeid="_x0000_i1032"/>
        </w:object>
      </w:r>
    </w:p>
    <w:p w:rsidR="0052266D" w:rsidRPr="0052266D" w:rsidRDefault="0052266D" w:rsidP="00522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в 2017 г. планируется дефицит тех или иных моделей автомобилей, то может ли это сказаться на динамике цен иномарок?</w:t>
      </w:r>
    </w:p>
    <w:p w:rsidR="0052266D" w:rsidRPr="0052266D" w:rsidRDefault="0052266D" w:rsidP="00522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031" type="#_x0000_t75" style="width:136.5pt;height:57.75pt" o:ole="">
            <v:imagedata r:id="rId5" o:title=""/>
          </v:shape>
          <w:control r:id="rId8" w:name="DefaultOcxName2" w:shapeid="_x0000_i1031"/>
        </w:object>
      </w:r>
    </w:p>
    <w:p w:rsidR="007228FC" w:rsidRDefault="007228FC"/>
    <w:p w:rsidR="0052266D" w:rsidRDefault="0052266D"/>
    <w:p w:rsidR="0052266D" w:rsidRDefault="0052266D" w:rsidP="0052266D">
      <w:pPr>
        <w:pStyle w:val="2"/>
      </w:pPr>
      <w:r>
        <w:t>Кейс по микроэкономике №2</w:t>
      </w:r>
    </w:p>
    <w:p w:rsidR="0052266D" w:rsidRDefault="0052266D">
      <w:bookmarkStart w:id="0" w:name="_GoBack"/>
      <w:bookmarkEnd w:id="0"/>
    </w:p>
    <w:p w:rsidR="0052266D" w:rsidRPr="0052266D" w:rsidRDefault="0052266D" w:rsidP="00522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спортивном центре университета теннисные корты обычно загружены на 60%. Ими пользуются в одинаковой степени преподаватели и студенты. Стоимость для преподавателей – 20 долл. в час, а для студентов – 10 долл. в час. </w:t>
      </w:r>
    </w:p>
    <w:p w:rsidR="0052266D" w:rsidRPr="0052266D" w:rsidRDefault="0052266D" w:rsidP="00522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спрос преподавателей совершенно неэластичен, т.е. при некотором процентном изменении цены величина спроса на товар изменяется в меньшей степени, чем цена.</w:t>
      </w:r>
    </w:p>
    <w:p w:rsidR="0052266D" w:rsidRPr="0052266D" w:rsidRDefault="0052266D" w:rsidP="00522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 студентов эластичен по цене, т.е. при некотором процентном изменении цены величина спроса на товар изменяется в большей степени, чем цена. </w:t>
      </w:r>
    </w:p>
    <w:p w:rsidR="0052266D" w:rsidRPr="0052266D" w:rsidRDefault="0052266D" w:rsidP="00522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клуба планирует увеличить посещаемость кортов, а также выручку. Для этого он рассматривает две возможности: </w:t>
      </w:r>
    </w:p>
    <w:p w:rsidR="0052266D" w:rsidRPr="0052266D" w:rsidRDefault="0052266D" w:rsidP="0052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единую для всех цену 15 долл. за час. </w:t>
      </w:r>
    </w:p>
    <w:p w:rsidR="0052266D" w:rsidRPr="0052266D" w:rsidRDefault="0052266D" w:rsidP="0052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плату для преподавателей до $25 в час и снизить ее для студентов до $5.</w:t>
      </w:r>
    </w:p>
    <w:p w:rsidR="0052266D" w:rsidRPr="0052266D" w:rsidRDefault="0052266D" w:rsidP="00522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Объясните, какой из этих вариантов может принести желаемый результат и почему.</w:t>
      </w:r>
    </w:p>
    <w:p w:rsidR="0052266D" w:rsidRPr="0052266D" w:rsidRDefault="0052266D" w:rsidP="00522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66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36" type="#_x0000_t75" style="width:136.5pt;height:57.75pt" o:ole="">
            <v:imagedata r:id="rId5" o:title=""/>
          </v:shape>
          <w:control r:id="rId9" w:name="DefaultOcxName3" w:shapeid="_x0000_i1036"/>
        </w:object>
      </w:r>
    </w:p>
    <w:p w:rsidR="0052266D" w:rsidRDefault="0052266D"/>
    <w:sectPr w:rsidR="0052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3070"/>
    <w:multiLevelType w:val="multilevel"/>
    <w:tmpl w:val="EF36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D3"/>
    <w:rsid w:val="00163DD3"/>
    <w:rsid w:val="0052266D"/>
    <w:rsid w:val="0072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3743"/>
  <w15:chartTrackingRefBased/>
  <w15:docId w15:val="{D936DD24-B52B-4191-B0F3-87C8F23F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2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2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2021-11-09T07:36:00Z</dcterms:created>
  <dcterms:modified xsi:type="dcterms:W3CDTF">2021-11-09T07:38:00Z</dcterms:modified>
</cp:coreProperties>
</file>